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contextualSpacing/>
        <w:jc w:val="center"/>
        <w:spacing w:after="240" w:line="240" w:lineRule="auto"/>
        <w:rPr>
          <w:rFonts w:ascii="Times New Roman" w:hAnsi="Times New Roman" w:eastAsia="Times New Roman"/>
          <w:b/>
          <w:bCs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37223" cy="964447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57178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34583" t="13455" r="35909" b="5432"/>
                        <a:stretch/>
                      </pic:blipFill>
                      <pic:spPr bwMode="auto">
                        <a:xfrm flipH="0" flipV="0">
                          <a:off x="0" y="0"/>
                          <a:ext cx="6237223" cy="9644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1.12pt;height:759.4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/>
          <w:b/>
          <w:sz w:val="28"/>
          <w:szCs w:val="28"/>
          <w:highlight w:val="none"/>
        </w:rPr>
      </w:r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Пояснительная записка</w:t>
      </w:r>
      <w:r>
        <w:rPr>
          <w:rFonts w:ascii="Times New Roman" w:hAnsi="Times New Roman" w:eastAsia="Times New Roman"/>
          <w:b/>
          <w:bCs/>
          <w:sz w:val="28"/>
          <w:szCs w:val="28"/>
          <w:highlight w:val="none"/>
        </w:rPr>
      </w:r>
    </w:p>
    <w:p>
      <w:pPr>
        <w:contextualSpacing/>
        <w:jc w:val="center"/>
        <w:spacing w:after="240" w:line="24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ind w:left="142" w:right="23"/>
        <w:jc w:val="both"/>
        <w:spacing w:after="0" w:line="240" w:lineRule="auto"/>
        <w:rPr>
          <w:rFonts w:ascii="Times New Roman" w:hAnsi="Times New Roman" w:eastAsia="SimSun" w:cs="Times New Roman"/>
          <w:sz w:val="28"/>
          <w:szCs w:val="28"/>
        </w:rPr>
      </w:pPr>
      <w:r>
        <w:rPr>
          <w:rFonts w:ascii="Times New Roman" w:hAnsi="Times New Roman" w:eastAsia="SimSun" w:cs="Times New Roman"/>
          <w:sz w:val="28"/>
          <w:szCs w:val="28"/>
        </w:rPr>
        <w:t xml:space="preserve">Пояснительная записка к рабочей программе по </w:t>
      </w:r>
      <w:r>
        <w:rPr>
          <w:rFonts w:ascii="Times New Roman" w:hAnsi="Times New Roman" w:eastAsia="SimSun" w:cs="Times New Roman"/>
          <w:sz w:val="28"/>
          <w:szCs w:val="28"/>
        </w:rPr>
        <w:t xml:space="preserve">геометрии</w:t>
      </w:r>
      <w:r>
        <w:rPr>
          <w:rFonts w:ascii="Times New Roman" w:hAnsi="Times New Roman" w:eastAsia="SimSun" w:cs="Times New Roman"/>
          <w:sz w:val="28"/>
          <w:szCs w:val="28"/>
        </w:rPr>
        <w:t xml:space="preserve"> составлена на основе следующих нормативно- правовых документов:</w:t>
      </w:r>
      <w:r>
        <w:rPr>
          <w:rFonts w:ascii="Times New Roman" w:hAnsi="Times New Roman" w:eastAsia="SimSun" w:cs="Times New Roman"/>
          <w:sz w:val="28"/>
          <w:szCs w:val="28"/>
        </w:rPr>
      </w:r>
    </w:p>
    <w:p>
      <w:pPr>
        <w:numPr>
          <w:ilvl w:val="0"/>
          <w:numId w:val="34"/>
        </w:num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Федеральный государственный образовательный стандарт основного общего образования /Министерство образования и науки Российской Федерации /. – М.:Просвещение, 2010. – (Стандарты второго поколения).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4"/>
        </w:num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Приказа Минобрнауки России от 06.10.2009 года  №373 «Об утверждении и введении в действие федерального государственного образовательного стандарта основного общего образования»;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4"/>
        </w:num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Приказ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 Минобрнауки России от 22.09.2011 года №2357 «О внесении изменений в  федеральный государственный  образовательный стандарт основного общего образования, утверждённый приказом Министерства образования и науки Российской Федерации от 06.10.2009 года №373».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4"/>
        </w:num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Приказ Минобрнауки России  от 31.03.2014 № 253 «Об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основного общего образования и имеющих государственную аккредитацию»;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4"/>
        </w:num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письмо Минобрнауки России от 02.02.2015 № НТ-136/08 «О федеральном перечне учебников»;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4"/>
        </w:num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Федеральный закон «Об образовании в Российской Федерации» от  29.12.2012 г. № 273 – ФЗ;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4"/>
        </w:num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29.12.2010 г. № 189 «Об утверждении СанПин 2.4.2.2821-10 «Санитарно –эпидемиологические требования к условиям и организации обучения в общеобразовательных учреждениях»;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4"/>
        </w:num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</w:rPr>
        <w:t xml:space="preserve">письмо департамента общего образования Министерства образования и науки Российской Федерации «О рекомендации к использованию примерной образовательной программы  основного общего образования» от 16 августа 2010 года № 03-48;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numPr>
          <w:ilvl w:val="0"/>
          <w:numId w:val="34"/>
        </w:num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</w:rPr>
        <w:t xml:space="preserve">приказ Министерства образо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</w:rPr>
        <w:t xml:space="preserve">вания и науки РФ № 1576 от 31 декабря 2015 г. «О внесении изменений в федеральный государственный образовательный стандарт основного общего образования», утвержденный приказом Министерства образования и науки Российской Федерации от 6 октября 2009г. № 373.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jc w:val="both"/>
        <w:spacing w:after="120" w:line="240" w:lineRule="auto"/>
        <w:rPr>
          <w:rFonts w:ascii="Times New Roman" w:hAnsi="Times New Roman" w:eastAsia="Times New Roman"/>
          <w:iCs/>
          <w:color w:val="000000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Рабочая программа  по геометрии</w:t>
      </w:r>
      <w:r>
        <w:rPr>
          <w:rFonts w:ascii="Times New Roman" w:hAnsi="Times New Roman" w:eastAsia="Times New Roman"/>
          <w:sz w:val="28"/>
          <w:szCs w:val="28"/>
        </w:rPr>
        <w:t xml:space="preserve"> для </w:t>
      </w:r>
      <w:r>
        <w:rPr>
          <w:rFonts w:ascii="Times New Roman" w:hAnsi="Times New Roman" w:eastAsia="Times New Roman"/>
          <w:sz w:val="28"/>
          <w:szCs w:val="28"/>
        </w:rPr>
        <w:t xml:space="preserve">9</w:t>
      </w:r>
      <w:r>
        <w:rPr>
          <w:rFonts w:ascii="Times New Roman" w:hAnsi="Times New Roman" w:eastAsia="Times New Roman"/>
          <w:sz w:val="28"/>
          <w:szCs w:val="28"/>
        </w:rPr>
        <w:t xml:space="preserve"> кла</w:t>
      </w:r>
      <w:r>
        <w:rPr>
          <w:rFonts w:ascii="Times New Roman" w:hAnsi="Times New Roman" w:eastAsia="Times New Roman"/>
          <w:sz w:val="28"/>
          <w:szCs w:val="28"/>
        </w:rPr>
        <w:t xml:space="preserve">сса разработана на основе примерной программы основного общего образования по математике  с учетом требований   федерального компонента Государственного образовательного стандарта основного общего образования по математике с использованием рекомендаций авт</w:t>
      </w:r>
      <w:r>
        <w:rPr>
          <w:rFonts w:ascii="Times New Roman" w:hAnsi="Times New Roman" w:eastAsia="Times New Roman"/>
          <w:sz w:val="28"/>
          <w:szCs w:val="28"/>
        </w:rPr>
        <w:t xml:space="preserve">орской программы </w:t>
      </w:r>
      <w:r>
        <w:rPr>
          <w:rFonts w:ascii="Times New Roman" w:hAnsi="Times New Roman"/>
          <w:sz w:val="28"/>
          <w:szCs w:val="28"/>
        </w:rPr>
        <w:t xml:space="preserve">Л.С.Атанасяна</w:t>
      </w:r>
      <w:r>
        <w:rPr>
          <w:rFonts w:ascii="Times New Roman" w:hAnsi="Times New Roman" w:eastAsia="Times New Roman"/>
          <w:sz w:val="28"/>
          <w:szCs w:val="28"/>
        </w:rPr>
        <w:t xml:space="preserve">. (Программа</w:t>
      </w:r>
      <w:r>
        <w:rPr>
          <w:rFonts w:ascii="Times New Roman" w:hAnsi="Times New Roman" w:eastAsia="Times New Roman"/>
          <w:sz w:val="28"/>
          <w:szCs w:val="28"/>
        </w:rPr>
        <w:t xml:space="preserve"> по геометрии, авт. </w:t>
      </w:r>
      <w:r>
        <w:rPr>
          <w:rFonts w:ascii="Times New Roman" w:hAnsi="Times New Roman"/>
          <w:sz w:val="28"/>
          <w:szCs w:val="28"/>
        </w:rPr>
        <w:t xml:space="preserve">Л.С.Атанасян</w:t>
      </w:r>
      <w:r>
        <w:rPr>
          <w:rFonts w:ascii="Times New Roman" w:hAnsi="Times New Roman" w:eastAsia="Times New Roman"/>
          <w:sz w:val="28"/>
          <w:szCs w:val="28"/>
        </w:rPr>
        <w:t xml:space="preserve">,</w:t>
      </w:r>
      <w:r>
        <w:rPr>
          <w:rFonts w:ascii="Times New Roman" w:hAnsi="Times New Roman" w:eastAsia="Times New Roman"/>
          <w:sz w:val="28"/>
          <w:szCs w:val="28"/>
        </w:rPr>
        <w:t xml:space="preserve"> В.Ф. Бутузов в сборнике «Геометрия</w:t>
      </w:r>
      <w:r>
        <w:rPr>
          <w:rFonts w:ascii="Times New Roman" w:hAnsi="Times New Roman" w:eastAsia="Times New Roman"/>
          <w:sz w:val="28"/>
          <w:szCs w:val="28"/>
        </w:rPr>
        <w:t xml:space="preserve">. Программы общеобразовательных учреждений. 7-9 классы. Составитель Т.А.Бурмистрова,  изд. «Просвещение»,  2009 г.)</w:t>
      </w:r>
      <w:r>
        <w:rPr>
          <w:rFonts w:ascii="Times New Roman" w:hAnsi="Times New Roman" w:eastAsia="Times New Roman"/>
          <w:iCs/>
          <w:color w:val="000000"/>
          <w:sz w:val="28"/>
          <w:szCs w:val="28"/>
        </w:rPr>
        <w:t xml:space="preserve">      </w:t>
      </w:r>
      <w:r>
        <w:rPr>
          <w:rFonts w:ascii="Times New Roman" w:hAnsi="Times New Roman" w:eastAsia="Times New Roman"/>
          <w:iCs/>
          <w:color w:val="000000"/>
          <w:sz w:val="28"/>
          <w:szCs w:val="28"/>
        </w:rPr>
      </w:r>
    </w:p>
    <w:p>
      <w:pPr>
        <w:jc w:val="both"/>
        <w:spacing w:after="120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iCs/>
          <w:color w:val="000000"/>
          <w:sz w:val="28"/>
          <w:szCs w:val="28"/>
        </w:rPr>
        <w:t xml:space="preserve"> Данная рабочая программа полностью отражает базовый уровень подготовки школьников по разделам программы, конкретизирует содержание тем образовательного стандарта и даёт распределение часов по разделам курса. 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  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jc w:val="both"/>
        <w:spacing w:after="120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       </w:t>
      </w:r>
      <w:r>
        <w:rPr>
          <w:rFonts w:ascii="Times New Roman" w:hAnsi="Times New Roman" w:eastAsia="Times New Roman"/>
          <w:iCs/>
          <w:sz w:val="28"/>
          <w:szCs w:val="28"/>
        </w:rPr>
        <w:t xml:space="preserve">Программа соответствует учебнику «Геометрия 7-9» для  образовательных учреждений / 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Л.С. Атанасян, В.Ф. Бутузов, С.Б.Кад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омцев, Э.Г.Позняк, И.И.Юдина.-21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-е изд.</w:t>
      </w:r>
      <w:r>
        <w:rPr>
          <w:rFonts w:ascii="Times New Roman" w:hAnsi="Times New Roman" w:eastAsia="Times New Roman"/>
          <w:iCs/>
          <w:sz w:val="28"/>
          <w:szCs w:val="28"/>
        </w:rPr>
        <w:t xml:space="preserve">–-М. : Просвещение,, 2011</w:t>
      </w:r>
      <w:r>
        <w:rPr>
          <w:rFonts w:ascii="Times New Roman" w:hAnsi="Times New Roman" w:eastAsia="Times New Roman"/>
          <w:iCs/>
          <w:sz w:val="28"/>
          <w:szCs w:val="28"/>
        </w:rPr>
        <w:t xml:space="preserve"> г.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В рабочей программе учтены идеи и положения Концепции духовно-нравственного развития и воспитания личности гражданина России, программы </w:t>
      </w:r>
      <w:r>
        <w:rPr>
          <w:rFonts w:ascii="Times New Roman" w:hAnsi="Times New Roman" w:eastAsia="Times New Roman"/>
          <w:sz w:val="28"/>
          <w:szCs w:val="28"/>
        </w:rPr>
        <w:t xml:space="preserve">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ind w:left="426" w:firstLine="425"/>
        <w:spacing w:after="0" w:line="240" w:lineRule="auto"/>
        <w:rPr>
          <w:rFonts w:ascii="Arial" w:hAnsi="Arial" w:eastAsia="Times New Roman" w:cs="Arial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Cs/>
          <w:color w:val="000000"/>
          <w:sz w:val="28"/>
          <w:szCs w:val="28"/>
        </w:rPr>
        <w:t xml:space="preserve">Изучение математики на ступени основного общего образования направлено на достижение следующих</w:t>
      </w:r>
      <w:r>
        <w:rPr>
          <w:rFonts w:ascii="Times New Roman" w:hAnsi="Times New Roman" w:eastAsia="Times New Roman" w:cs="Times New Roman"/>
          <w:b/>
          <w:bCs/>
          <w:iCs/>
          <w:color w:val="000000"/>
          <w:sz w:val="28"/>
          <w:szCs w:val="28"/>
        </w:rPr>
        <w:t xml:space="preserve"> целей</w:t>
      </w:r>
      <w:r>
        <w:rPr>
          <w:rFonts w:ascii="Times New Roman" w:hAnsi="Times New Roman" w:eastAsia="Times New Roman" w:cs="Times New Roman"/>
          <w:b/>
          <w:bCs/>
          <w:i/>
          <w:iCs/>
          <w:color w:val="000000"/>
          <w:sz w:val="28"/>
          <w:szCs w:val="28"/>
        </w:rPr>
        <w:t xml:space="preserve">:</w:t>
      </w:r>
      <w:r>
        <w:rPr>
          <w:rFonts w:ascii="Arial" w:hAnsi="Arial" w:eastAsia="Times New Roman" w:cs="Arial"/>
          <w:color w:val="000000"/>
          <w:sz w:val="28"/>
          <w:szCs w:val="28"/>
        </w:rPr>
      </w:r>
    </w:p>
    <w:p>
      <w:pPr>
        <w:numPr>
          <w:ilvl w:val="0"/>
          <w:numId w:val="7"/>
        </w:numPr>
        <w:ind w:left="567"/>
        <w:jc w:val="both"/>
        <w:spacing w:after="0" w:line="240" w:lineRule="auto"/>
        <w:rPr>
          <w:rFonts w:ascii="Arial" w:hAnsi="Arial" w:eastAsia="Times New Roman" w:cs="Arial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формирование представлений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 об идеях и методах математики как универсального языка науки и техники, средства моделирования явлений и процессов;</w:t>
      </w:r>
      <w:r>
        <w:rPr>
          <w:rFonts w:ascii="Arial" w:hAnsi="Arial" w:eastAsia="Times New Roman" w:cs="Arial"/>
          <w:color w:val="000000"/>
          <w:sz w:val="28"/>
          <w:szCs w:val="28"/>
        </w:rPr>
      </w:r>
    </w:p>
    <w:p>
      <w:pPr>
        <w:numPr>
          <w:ilvl w:val="0"/>
          <w:numId w:val="7"/>
        </w:numPr>
        <w:ind w:left="567"/>
        <w:jc w:val="both"/>
        <w:spacing w:after="0" w:line="240" w:lineRule="auto"/>
        <w:rPr>
          <w:rFonts w:ascii="Arial" w:hAnsi="Arial" w:eastAsia="Times New Roman" w:cs="Arial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овладение системой математических знаний и умений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необходимых для применения в практической деятельности, изучения смежных дисциплин, продолжения образования;</w:t>
      </w:r>
      <w:r>
        <w:rPr>
          <w:rFonts w:ascii="Arial" w:hAnsi="Arial" w:eastAsia="Times New Roman" w:cs="Arial"/>
          <w:color w:val="000000"/>
          <w:sz w:val="28"/>
          <w:szCs w:val="28"/>
        </w:rPr>
      </w:r>
    </w:p>
    <w:p>
      <w:pPr>
        <w:numPr>
          <w:ilvl w:val="0"/>
          <w:numId w:val="7"/>
        </w:numPr>
        <w:ind w:left="567"/>
        <w:jc w:val="both"/>
        <w:spacing w:after="0" w:line="240" w:lineRule="auto"/>
        <w:rPr>
          <w:rFonts w:ascii="Arial" w:hAnsi="Arial" w:eastAsia="Times New Roman" w:cs="Arial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интеллектуальное развитие,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формирование качеств личности, необхо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бности к преодолению трудностей;</w:t>
      </w:r>
      <w:r>
        <w:rPr>
          <w:rFonts w:ascii="Arial" w:hAnsi="Arial" w:eastAsia="Times New Roman" w:cs="Arial"/>
          <w:color w:val="000000"/>
          <w:sz w:val="28"/>
          <w:szCs w:val="28"/>
        </w:rPr>
      </w:r>
    </w:p>
    <w:p>
      <w:pPr>
        <w:numPr>
          <w:ilvl w:val="0"/>
          <w:numId w:val="7"/>
        </w:numPr>
        <w:ind w:left="567"/>
        <w:jc w:val="both"/>
        <w:spacing w:after="0" w:line="240" w:lineRule="auto"/>
        <w:rPr>
          <w:rFonts w:ascii="Arial" w:hAnsi="Arial" w:eastAsia="Times New Roman" w:cs="Arial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воспитание 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культуры личности, отношения к математике как к части общечеловеческой культуры, играющей особую роль в общественном развитии.</w:t>
      </w:r>
      <w:r>
        <w:rPr>
          <w:rFonts w:ascii="Arial" w:hAnsi="Arial" w:eastAsia="Times New Roman" w:cs="Arial"/>
          <w:color w:val="000000"/>
          <w:sz w:val="28"/>
          <w:szCs w:val="28"/>
        </w:rPr>
      </w:r>
    </w:p>
    <w:p>
      <w:pPr>
        <w:ind w:left="360" w:firstLine="916"/>
        <w:jc w:val="both"/>
        <w:spacing w:after="0" w:line="240" w:lineRule="auto"/>
        <w:rPr>
          <w:rFonts w:ascii="Arial" w:hAnsi="Arial" w:eastAsia="Times New Roman" w:cs="Arial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Важнейшей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задачей школьного курса геометрии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 является развитие логического мышления учащихся. сами 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объекты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 геометрических умозаключений и принятые в геометрии правила их конструирования способствуют формированию умений обосновывать и доказывать суждения, приводить чёткие определения , развивают логическую 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интуицию, кратко</w:t>
      </w: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  <w:t xml:space="preserve"> и наглядно вскрывают механизм логических построений и учат их применению. </w:t>
      </w:r>
      <w:r>
        <w:rPr>
          <w:rFonts w:ascii="Arial" w:hAnsi="Arial" w:eastAsia="Times New Roman" w:cs="Arial"/>
          <w:color w:val="000000"/>
          <w:sz w:val="28"/>
          <w:szCs w:val="28"/>
        </w:rPr>
      </w:r>
    </w:p>
    <w:p>
      <w:pPr>
        <w:pStyle w:val="790"/>
        <w:contextualSpacing/>
        <w:ind w:left="426" w:right="-102"/>
        <w:spacing w:after="0" w:line="360" w:lineRule="auto"/>
        <w:rPr>
          <w:rStyle w:val="795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Style w:val="795"/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Общая характеристика учебного курса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90"/>
        <w:ind w:right="20" w:firstLine="851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795"/>
          <w:rFonts w:ascii="Times New Roman" w:hAnsi="Times New Roman" w:cs="Times New Roman"/>
          <w:sz w:val="28"/>
          <w:szCs w:val="28"/>
        </w:rPr>
        <w:t xml:space="preserve">В курсе условно можно выделить следующие содержательные линии</w:t>
      </w:r>
      <w:r>
        <w:rPr>
          <w:rStyle w:val="796"/>
          <w:rFonts w:ascii="Times New Roman" w:hAnsi="Times New Roman" w:cs="Times New Roman"/>
          <w:sz w:val="28"/>
          <w:szCs w:val="28"/>
        </w:rPr>
        <w:t xml:space="preserve">:  «Наглядная геометрия», «Геометрические фигуры», «Измерение геометрических величин», «Координаты», «Векторы», «Логика и множества», «Геометрия в историческом развитии».</w:t>
      </w:r>
      <w:r>
        <w:rPr>
          <w:rStyle w:val="795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851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Геометрия – один из важнейших компонентов математического образ</w:t>
      </w:r>
      <w:r>
        <w:rPr>
          <w:rFonts w:ascii="Times New Roman" w:hAnsi="Times New Roman" w:cs="Times New Roman"/>
          <w:sz w:val="28"/>
          <w:szCs w:val="28"/>
        </w:rPr>
        <w:t xml:space="preserve">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</w:t>
      </w:r>
      <w:r>
        <w:rPr>
          <w:rFonts w:ascii="Times New Roman" w:hAnsi="Times New Roman" w:cs="Times New Roman"/>
          <w:sz w:val="28"/>
          <w:szCs w:val="28"/>
        </w:rPr>
        <w:t xml:space="preserve">спитания учащихся. Изучение геометрии вносит вклад в развитие логического мышления, в формирование понятия доказательства. Преобразование геометрических форм вносит свой специфический вклад в развитие воображения, способностей к математическому творчеству.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курсе геометрии 9 класса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обучающиеся учатся выполнять действия над векторами как направленными отрезками, что важно для применения векторов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физике; знакомятся с использованием векторов и метода координат при решении геометрических задач; развивается умение обучающихся применять тригонометрический аппарат при решении геометрических задач; расширяется знание обучающихся о многоугольниках; рас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сматриваются понятия длины окружности и площади круга и формулы для их вычисления; знакомятся обучающиеся с понятием движения и его свойствами, с основными видами движений, со взаимоотношениями наложений и движений; даётся более глубокое представление о си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стеме аксиом планиметрии и аксиоматическом методе; даётся начальное представление телах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поверхностях в пространстве; знакомятся обучающиеся с основ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ными формулами для вычисления площадей; поверхностей и объ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емов тел.</w:t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Линия «Геометрия в историческом развитии» предназначена для формирования представлений о геометрии как части человеческой культуры, для общего развития школьников, для создания культурно – исторической среды обучения.</w:t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709"/>
        <w:jc w:val="both"/>
        <w:spacing w:after="0" w:line="240" w:lineRule="auto"/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contextualSpacing/>
        <w:ind w:left="580" w:right="40"/>
        <w:spacing w:before="240" w:after="245"/>
        <w:tabs>
          <w:tab w:val="left" w:pos="750" w:leader="none"/>
        </w:tabs>
        <w:rPr>
          <w:rFonts w:ascii="Times New Roman" w:hAnsi="Times New Roman" w:eastAsiaTheme="minorHAnsi"/>
          <w:b/>
          <w:sz w:val="28"/>
          <w:szCs w:val="28"/>
        </w:rPr>
      </w:pPr>
      <w:r>
        <w:rPr>
          <w:rFonts w:ascii="Times New Roman" w:hAnsi="Times New Roman" w:eastAsiaTheme="minorHAnsi"/>
          <w:b/>
          <w:sz w:val="28"/>
          <w:szCs w:val="28"/>
        </w:rPr>
        <w:t xml:space="preserve">Ценностные ориентиры содержания учебного предмета</w:t>
      </w:r>
      <w:r>
        <w:rPr>
          <w:rFonts w:ascii="Times New Roman" w:hAnsi="Times New Roman" w:eastAsiaTheme="minorHAnsi"/>
          <w:b/>
          <w:sz w:val="28"/>
          <w:szCs w:val="28"/>
        </w:rPr>
      </w:r>
    </w:p>
    <w:p>
      <w:pPr>
        <w:contextualSpacing/>
        <w:ind w:firstLine="567"/>
        <w:spacing w:before="100" w:beforeAutospacing="1" w:after="100" w:afterAutospacing="1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Исторически сложилось две стороны назначения математического образовани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я: практическая, связанная с созданием и применением инструментария, необходимого человеку в его продуктивной деятельности, и духовная, связанная с мышлением человека, с овладением определенным методом познания и преобразования мира математическим методом.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contextualSpacing/>
        <w:ind w:firstLine="567"/>
        <w:spacing w:before="100" w:beforeAutospacing="1" w:after="100" w:afterAutospacing="1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Без базовой математической подготовки невозможна постановка образования современного человека.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contextualSpacing/>
        <w:ind w:firstLine="567"/>
        <w:spacing w:before="100" w:beforeAutospacing="1" w:after="100" w:afterAutospacing="1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В школе математика служит опорным предметом для изучения смежных дисциплин.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contextualSpacing/>
        <w:ind w:firstLine="567"/>
        <w:spacing w:before="100" w:beforeAutospacing="1" w:after="100" w:afterAutospacing="1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Практическая полезность математики обусловлена тем, что ее предметом являются фундаментальные структуры реального мира: пространственные формы и количественные от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ношения — от простейших, усваиваемых в непосредственном опыте, до достаточно сложных, необходимых для развития научных и технологических идей. Без конкретных математических знаний затруднено понимание принципов устройства и использования современной техник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и, восприятие и интерпретация разнообразной социальной, экономической, политической информации, малоэффективна повседневная практическая деятельность. Каждому человеку в своей жизни приходится выполнять достаточно сложные расчеты, находить в справочниках н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ужные формулы и применять их, владеть практическими приемами геометрических измерений и построений, читать информацию, представленную в виду таблиц, диаграмм, графиков, понимать вероятностный характер случайных событий, составлять несложные алгоритмы и др.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contextualSpacing/>
        <w:ind w:firstLine="567"/>
        <w:spacing w:before="100" w:beforeAutospacing="1" w:after="100" w:afterAutospacing="1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В послешкольной жизни реальной необходимостью в наши дни является непрерывное образование, что требует полноценной базовой общеобразовательной подготовки, в том числе и математической. И наконец, все больше специальностей, где необходим высокий уровень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 образования, связано с непосредственным применением математики (экономика, бизнес, финансы, физика, химия, техника, информатика, биология, психология и др.). Таким образом, расширяется круг школьников, для которых математика становится значимым предметом.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contextualSpacing/>
        <w:ind w:firstLine="567"/>
        <w:spacing w:before="100" w:beforeAutospacing="1" w:after="100" w:afterAutospacing="1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Для жизни в современном обществе важным является формирование математического стиля мышления, проявляющегося в определенных умст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венных навыках. В процессе математической деятельности в арсенал приемов и методов человеческого мышления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логия. Объекты математических умозаключений и правила их конструирования вскрывают механизм логических построений, вырабатывают умения формулировать, обосновывать и доказывать суждения, тем самым развивают логическое мышление. Ведущая роль принадлежит мате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матике в формировании алгоритмического мышления и воспитании умений действовать по заданному алгоритму и конструировать новые. В ходе решения задач — основной учебной деятельности на уроках математики — развиваются творческая и прикладная стороны мышления.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contextualSpacing/>
        <w:ind w:firstLine="567"/>
        <w:spacing w:before="100" w:beforeAutospacing="1" w:after="100" w:afterAutospacing="1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Обучение математике дает возможность развивать у учащихся точную, экономную и информативную речь, умение отбирать наиболее подходящие языковые (в частности, символические, графические) средства.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contextualSpacing/>
        <w:ind w:firstLine="567"/>
        <w:spacing w:before="100" w:beforeAutospacing="1" w:after="100" w:afterAutospacing="1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Математическое образование вносит свой вклад в формирование общей культуры человека. Необходимым компонентом общей культуры в современном</w:t>
      </w: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 толковании является общее знакомство с методами познания действительности, представление о предмете и методе математики, его отличия от методов естественных и гуманитарных наук, об особенностях применения математики для решения научных и прикладных задач.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contextualSpacing/>
        <w:ind w:firstLine="567"/>
        <w:spacing w:before="100" w:beforeAutospacing="1" w:after="100" w:afterAutospacing="1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Изучение математики способствует эстетическому воспитанию человека, пониманию красоты и изящества математических рассуждений, восприятию геометрических форм, усвоению идеи симметрии.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contextualSpacing/>
        <w:ind w:firstLine="567"/>
        <w:spacing w:before="100" w:beforeAutospacing="1" w:after="100" w:afterAutospacing="1" w:line="240" w:lineRule="auto"/>
        <w:rPr>
          <w:rFonts w:ascii="Times New Roman" w:hAnsi="Times New Roman" w:eastAsia="Times New Roman"/>
          <w:bCs/>
          <w:iCs/>
          <w:sz w:val="28"/>
          <w:szCs w:val="28"/>
        </w:rPr>
      </w:pPr>
      <w:r>
        <w:rPr>
          <w:rFonts w:ascii="Times New Roman" w:hAnsi="Times New Roman" w:eastAsia="Times New Roman"/>
          <w:bCs/>
          <w:iCs/>
          <w:sz w:val="28"/>
          <w:szCs w:val="28"/>
        </w:rPr>
        <w:t xml:space="preserve">История развития математического знания дает возможность пополнить запас историко-научных знаний школьников, сформировать у них представления о математике как части общечеловеческой культуры</w:t>
      </w:r>
      <w:r>
        <w:rPr>
          <w:rFonts w:ascii="Times New Roman" w:hAnsi="Times New Roman" w:eastAsia="Times New Roman"/>
          <w:bCs/>
          <w:i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места учебного предмета «Геометрия» в учебном плане: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базисному (общеобразовательному) плану общеобразовательных учреждений РФ всего на изучение </w:t>
      </w:r>
      <w:r>
        <w:rPr>
          <w:rFonts w:ascii="Times New Roman" w:hAnsi="Times New Roman" w:cs="Times New Roman"/>
          <w:sz w:val="28"/>
          <w:szCs w:val="28"/>
        </w:rPr>
        <w:t xml:space="preserve">геометрии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 классе выделяется </w:t>
      </w:r>
      <w:r>
        <w:rPr>
          <w:rFonts w:ascii="Times New Roman" w:hAnsi="Times New Roman" w:cs="Times New Roman"/>
          <w:sz w:val="28"/>
          <w:szCs w:val="28"/>
        </w:rPr>
        <w:t xml:space="preserve">68</w:t>
      </w:r>
      <w:r>
        <w:rPr>
          <w:rFonts w:ascii="Times New Roman" w:hAnsi="Times New Roman" w:cs="Times New Roman"/>
          <w:sz w:val="28"/>
          <w:szCs w:val="28"/>
        </w:rPr>
        <w:t xml:space="preserve"> часов ( </w:t>
      </w:r>
      <w:r>
        <w:rPr>
          <w:rFonts w:ascii="Times New Roman" w:hAnsi="Times New Roman" w:cs="Times New Roman"/>
          <w:sz w:val="28"/>
          <w:szCs w:val="28"/>
        </w:rPr>
        <w:t xml:space="preserve">2 часа в неделю).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jc w:val="both"/>
        <w:spacing w:after="0"/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Курс геометрии 9 класса – заключительное звено математического образования на этапе основного общего образования. На этом этапе заканчивается формирование основных понятий планиметрии, необходимых человеку в повседневной практике. Необходимо заверш</w:t>
      </w:r>
      <w:r>
        <w:rPr>
          <w:rFonts w:ascii="Times New Roman" w:hAnsi="Times New Roman"/>
          <w:color w:val="000000"/>
          <w:sz w:val="28"/>
          <w:szCs w:val="28"/>
        </w:rPr>
        <w:t xml:space="preserve">ить формирование навыков решения всех типов текстовых задач, в дальнейшем эти навыки будут только совершенствоваться в курсе стереометрии. Серьёзное внимание уделяется формированию умений рассуждать, делать выводы, давать обоснования выполненных действий. </w:t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ind w:right="-79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контроля: </w:t>
      </w:r>
      <w:r>
        <w:rPr>
          <w:rFonts w:ascii="Times New Roman" w:hAnsi="Times New Roman"/>
          <w:sz w:val="28"/>
          <w:szCs w:val="28"/>
        </w:rPr>
        <w:t xml:space="preserve">самостоятельная работа, контрольная работа, наблюдение, зачёт, тесты,  </w:t>
      </w:r>
      <w:r>
        <w:rPr>
          <w:rFonts w:ascii="Times New Roman" w:hAnsi="Times New Roman"/>
          <w:sz w:val="28"/>
          <w:szCs w:val="28"/>
        </w:rPr>
      </w:r>
    </w:p>
    <w:p>
      <w:pPr>
        <w:ind w:right="-79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по карточке.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 w:line="298" w:lineRule="exact"/>
        <w:shd w:val="clear" w:color="auto" w:fill="ffff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Ведущая технология: </w:t>
      </w:r>
      <w:r>
        <w:rPr>
          <w:rFonts w:ascii="Times New Roman" w:hAnsi="Times New Roman"/>
          <w:sz w:val="28"/>
          <w:szCs w:val="28"/>
        </w:rPr>
        <w:t xml:space="preserve">традиционная с элементами дифференциации и информационной, что позволит повысить мотивацию обучающихся. 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Основные методы: </w:t>
      </w:r>
      <w:r>
        <w:rPr>
          <w:rFonts w:ascii="Times New Roman" w:hAnsi="Times New Roman"/>
          <w:spacing w:val="-1"/>
          <w:sz w:val="28"/>
          <w:szCs w:val="28"/>
        </w:rPr>
        <w:t xml:space="preserve">словесный, наглядный, проблемно-поисковый, практический.</w:t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Формы организации деятельности учащихся: </w:t>
      </w:r>
      <w:r>
        <w:rPr>
          <w:rFonts w:ascii="Times New Roman" w:hAnsi="Times New Roman"/>
          <w:spacing w:val="-1"/>
          <w:sz w:val="28"/>
          <w:szCs w:val="28"/>
        </w:rPr>
        <w:t xml:space="preserve">фронтальная, индивидуальная, групповая.</w:t>
      </w:r>
      <w:r>
        <w:rPr>
          <w:rFonts w:ascii="Times New Roman" w:hAnsi="Times New Roman"/>
          <w:spacing w:val="-1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геометрии по данной программе способствует формированию у учащихся личностных ,метапредметных и предметных результатов обучения, соответствующих требованиям федерального государственного образовательного стандарта основного общего образования.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left="860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</w:rPr>
        <w:t xml:space="preserve">Геометрические фигуры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Выпускник научится: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8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пользоваться языком геометрии для описания предметов окружающего мира и их взаимного расположения;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8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распознавать и изображать на чертежах и рисунках геометрические фигуры и их конфигурации;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8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классифицировать геометрические фигуры;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8"/>
        </w:numPr>
        <w:spacing w:after="0" w:line="234" w:lineRule="auto"/>
        <w:tabs>
          <w:tab w:val="left" w:pos="14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находить значения длин линейных элементов фигур и их отношения, градусную меру углов от 0°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8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оперировать с начальными понятиями тригонометрии и выполнять элементарные операции над функциями углов;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8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доказывать теоремы;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8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решать задачи на доказательство, опираясь на изученные свойства фигур и отношений между ними и применяя изученные методы доказательств;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8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решать несложные задачи на построение, применяя основные алгоритмы построения с помощью циркуля и линейки;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8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решать простейшие планиметрические задачи в пространстве.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u w:val="single"/>
        </w:rPr>
        <w:t xml:space="preserve">Выпускник получит возможность: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9"/>
        </w:numPr>
        <w:spacing w:after="0" w:line="234" w:lineRule="auto"/>
        <w:tabs>
          <w:tab w:val="left" w:pos="14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овладеть методами решения задач на вычисления и доказательства: методом от противного, методом подобия, методом перебора вариантов и методом геометрических мест точек;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9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приобрести опыт применения алгебраического и тригонометрического аппарата и идей движения при решении геометрических задач;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9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овладеть традиционной схемой решения задач на построение с помощью циркуля и линейки: анализ, построение, доказательство и исследование;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0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научиться решать задачи на построение методом геометрического места точек и методом подобия;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0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приобрести опыт исследования свойств планиметрических фигур с помощью компьютерных программ;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0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приобрести опыт выполнения проектов.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860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</w:rPr>
        <w:t xml:space="preserve">Измерение геометрических величин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Выпускник научится: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1"/>
        </w:numPr>
        <w:ind w:right="20"/>
        <w:spacing w:after="0" w:line="234" w:lineRule="auto"/>
        <w:tabs>
          <w:tab w:val="left" w:pos="14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1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вычислять площади треугольников, прямоугольников, параллелограммов, трапеций, кругов и секторов;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1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вычислять длину окружности, длину дуги окружности;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1"/>
        </w:numPr>
        <w:spacing w:after="0" w:line="234" w:lineRule="auto"/>
        <w:tabs>
          <w:tab w:val="left" w:pos="14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вычислять длины линейных элементов фигур и их углы, используя формулы длины окружности и длины дуги окружности, формулы площадей фигур;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1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решать задачи на доказательство с использованием формул длины окружности и длины дуги окружности, формул площадей фигур;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1"/>
        </w:numPr>
        <w:spacing w:after="0" w:line="234" w:lineRule="auto"/>
        <w:tabs>
          <w:tab w:val="left" w:pos="14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Выпускник получит возможность научиться: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1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вычислять площади фигур, составленных из двух или более прямоугольников, параллелограммов, треугольников, круга и сектора;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1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вычислять площади многоугольников, используя отношения равновеликости и равносоставленности;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1"/>
        </w:numPr>
        <w:ind w:right="880"/>
        <w:spacing w:after="0" w:line="234" w:lineRule="auto"/>
        <w:tabs>
          <w:tab w:val="left" w:pos="138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применять алгебраический и тригонометрический аппарат и идеи движения при решении задач на вычисление площадей многоугольников.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 xml:space="preserve">Координаты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Выпускник научится: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2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вычислять длину отрезка по координатам его концов; вычислять координаты середины отрезка;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2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использовать координатный метод для изучения свойств прямых и окружностей.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Выпускник получит возможность: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3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овладеть координатным методом решения задач на вычисления и доказательство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3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приобрести опыт использования компьютерных программ для анализа частных случаев взаимного расположения окружностей и прямых;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3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приобрести опыт выполнения проектов на тему «Применение координатного метода при решении задач на вычисления и доказательства».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560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u w:val="single"/>
        </w:rPr>
        <w:t xml:space="preserve">Векторы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Выпускник научится: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4"/>
        </w:numPr>
        <w:spacing w:after="0" w:line="234" w:lineRule="auto"/>
        <w:tabs>
          <w:tab w:val="left" w:pos="14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4"/>
        </w:numPr>
        <w:spacing w:after="0" w:line="234" w:lineRule="auto"/>
        <w:tabs>
          <w:tab w:val="left" w:pos="144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4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вычислять скалярное произведение векторов, находить угол между векторами, устанавливать перпендикулярность прямых.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Выпускник получит возможность: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5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овладеть векторным методом для решения задач на вычисления и доказательства;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45"/>
        </w:numPr>
        <w:spacing w:after="0" w:line="240" w:lineRule="auto"/>
        <w:tabs>
          <w:tab w:val="left" w:pos="14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приобрести опыт выполнения проектов.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Личностные результаты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6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5"/>
        </w:numPr>
        <w:ind w:right="20"/>
        <w:spacing w:after="0" w:line="267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2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5"/>
        </w:numPr>
        <w:jc w:val="both"/>
        <w:spacing w:after="0" w:line="27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осознанный выбор и построение дальнейшей индивидуальн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9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5"/>
        </w:num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умение контролировать процесс и результат учебной и математической деятельности;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40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5"/>
        </w:num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критичность мышления, инициатива, находчивость, активность при решении геометрических задач.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Средством достижения этих результатов является: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92"/>
        <w:numPr>
          <w:ilvl w:val="0"/>
          <w:numId w:val="37"/>
        </w:numPr>
        <w:spacing w:after="0" w:line="235" w:lineRule="auto"/>
        <w:tabs>
          <w:tab w:val="left" w:pos="1420" w:leader="none"/>
        </w:tabs>
        <w:rPr>
          <w:rFonts w:ascii="Verdana" w:hAnsi="Verdana" w:eastAsia="Verdana" w:cs="Verdana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система заданий учебников;</w:t>
      </w:r>
      <w:r>
        <w:rPr>
          <w:rFonts w:ascii="Verdana" w:hAnsi="Verdana" w:eastAsia="Verdana" w:cs="Verdana"/>
          <w:sz w:val="28"/>
          <w:szCs w:val="28"/>
        </w:rPr>
      </w:r>
    </w:p>
    <w:p>
      <w:pPr>
        <w:pStyle w:val="792"/>
        <w:numPr>
          <w:ilvl w:val="0"/>
          <w:numId w:val="37"/>
        </w:numPr>
        <w:spacing w:after="0" w:line="240" w:lineRule="auto"/>
        <w:tabs>
          <w:tab w:val="left" w:pos="1420" w:leader="none"/>
        </w:tabs>
        <w:rPr>
          <w:rFonts w:ascii="Verdana" w:hAnsi="Verdana" w:eastAsia="Verdana" w:cs="Verdana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представленная в учебниках в явном виде организация материала по принципу минимакса;</w:t>
      </w:r>
      <w:r>
        <w:rPr>
          <w:rFonts w:ascii="Verdana" w:hAnsi="Verdana" w:eastAsia="Verdana" w:cs="Verdana"/>
          <w:sz w:val="28"/>
          <w:szCs w:val="28"/>
        </w:rPr>
      </w:r>
    </w:p>
    <w:p>
      <w:pPr>
        <w:pStyle w:val="792"/>
        <w:numPr>
          <w:ilvl w:val="0"/>
          <w:numId w:val="37"/>
        </w:numPr>
        <w:spacing w:after="0" w:line="240" w:lineRule="auto"/>
        <w:tabs>
          <w:tab w:val="left" w:pos="1420" w:leader="none"/>
        </w:tabs>
        <w:rPr>
          <w:rFonts w:ascii="Verdana" w:hAnsi="Verdana" w:eastAsia="Verdana" w:cs="Verdana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использование совокупности технологий, ориентированных на развитие самостоятельности и критичности мышления: технология проблемного диалога, технология продуктивного чтения, технология оценивания.</w:t>
      </w:r>
      <w:r>
        <w:rPr>
          <w:rFonts w:ascii="Verdana" w:hAnsi="Verdana" w:eastAsia="Verdana" w:cs="Verdana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Мета предметные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результаты: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6"/>
        </w:numPr>
        <w:ind w:right="860"/>
        <w:spacing w:after="0" w:line="234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умение самостоятельно определять цели своего обучения, ставить и формулировать для себя новые задания в учёбе, развивать мотивы и интересы своей познавательной деятельности;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6"/>
        </w:numPr>
        <w:ind w:right="180"/>
        <w:spacing w:after="0" w:line="236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действий в рамках предложенных условий и требований, корректировать свои действия в соответствии с изменяющейся ситуацией;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6"/>
        </w:numPr>
        <w:ind w:right="200"/>
        <w:spacing w:after="0" w:line="234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6"/>
        </w:numPr>
        <w:ind w:right="160"/>
        <w:spacing w:after="0" w:line="234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устанавливать причинно-следственные связи, проводить доказательное рассуждение, умозаключение (индуктивное, дедуктивное и по аналогии) делать выводы;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6"/>
        </w:num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умение иллюстрировать изученные понятия и свойства фигур, опровергать неверные утверждения;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6"/>
        </w:num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компетентность области использования информационно-коммуникационных технологий;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6"/>
        </w:num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первоначальные предстваления об идеях и о методах геометрии как об универсальном языке науки и техники, о средствах моделирования явлений и процессов;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6"/>
        </w:num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умение видеть геометрическую задачу в контексте проблемной ситуации в других дисциплинах, в окружающей жизни;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36"/>
        </w:num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умение находить в различных источниках информации, необходимую для решения математических проблем, и предствалять её в понятной форме, принимать решение в условиях неполной или избыточной, точной или вероятной информации;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Предметные результаты: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1)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осознание значения геометрии для повседневной жизни человека;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2)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представление о геометрии как сфере математической деятельности, об этапах её развития, о её значи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мости для развития цивилизации;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3)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развитие умений работать с учебником математическим текстом (анализировать, извлекать необходимую информацию), точно и грамотно выражать свои мысли с применением математической технологии и символики, проводить классификации, логические обоснования;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4)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владение базовым понятийным аппаратом по основным разделам содержания;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5)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систематические 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нания о фигурах и их свойствах;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6)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практически значимые геометрические умения и навыки, умение применять их к решению геометрических и негеометрических задач, а именно: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изображать фигуры на плоскости;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использовать геометрический язык для описания предметов окружающего мира;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измерять длины отрезков, величины углов, вычислять площади фигур;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распознавать и изображать равные, симметричные и подобные фигуры;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выполнять построения геометрических фигур с помощью циркуля и линейки;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читать и использовать информацию, представленную на чертежах, схемах;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tabs>
          <w:tab w:val="left" w:pos="360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проводить практические расчеты.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курса </w:t>
      </w:r>
      <w:r>
        <w:rPr>
          <w:rFonts w:ascii="Times New Roman" w:hAnsi="Times New Roman" w:cs="Times New Roman"/>
          <w:b/>
          <w:sz w:val="28"/>
          <w:szCs w:val="28"/>
        </w:rPr>
        <w:t xml:space="preserve">геометрии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9</w:t>
      </w:r>
      <w:r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792"/>
        <w:contextualSpacing w:val="0"/>
        <w:ind w:left="786"/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Вводное повторение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92"/>
        <w:contextualSpacing w:val="0"/>
        <w:ind w:left="786"/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Векторы. Метод координат </w:t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вектора. Равенство векторов. Откладывание вектора от заданной точки. Сумма двух векторов. Законы слож</w:t>
      </w:r>
      <w:r>
        <w:rPr>
          <w:rFonts w:ascii="Times New Roman" w:hAnsi="Times New Roman"/>
          <w:sz w:val="28"/>
          <w:szCs w:val="28"/>
        </w:rPr>
        <w:t xml:space="preserve">ения. Сложение нескольких векторов. Разность векторов. Умножение вектора на число. Применение векторов к решению задач. Разложение вектора по двум неколлинеарным векторам. Координаты вектора. Простейшие задачи в координатах. Уравнение окружности и прямой. 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После изучения темы учащиеся должны:</w:t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Знать: </w:t>
      </w:r>
      <w:r>
        <w:rPr>
          <w:rFonts w:ascii="Times New Roman" w:hAnsi="Times New Roman"/>
          <w:sz w:val="28"/>
          <w:szCs w:val="28"/>
        </w:rPr>
        <w:t xml:space="preserve"> определение вектора,  равенства двух векторов; законы сложения; общий вид уравнения окружности и прямой.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Уметь:  </w:t>
      </w:r>
      <w:r>
        <w:rPr>
          <w:rFonts w:ascii="Times New Roman" w:hAnsi="Times New Roman"/>
          <w:sz w:val="28"/>
          <w:szCs w:val="28"/>
        </w:rPr>
        <w:t xml:space="preserve">откладывать вектор, равный данному;  складывать несколько векторов;  находить разность двух векторов;  определять координаты векторов; решать простейшие задачи  в координатах; составлять уравнение окружности и прямой.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/>
          <w:b/>
          <w:sz w:val="28"/>
          <w:szCs w:val="28"/>
        </w:rPr>
        <w:t xml:space="preserve">Соотношение между сторонами и углами треугольника. </w:t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Синус, косинус и тангенс угла. Формула для вычисления координаты точки. Теорема о площади треугольника. Теорема синусов. Теорема косинусов. Скалярное произведение векторов.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После изучения темы учащиеся должны:</w:t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Знать:  </w:t>
      </w:r>
      <w:r>
        <w:rPr>
          <w:rFonts w:ascii="Times New Roman" w:hAnsi="Times New Roman"/>
          <w:sz w:val="28"/>
          <w:szCs w:val="28"/>
        </w:rPr>
        <w:t xml:space="preserve">определения синуса, косинуса и тангенса, скалярного произведения векторов; теоремы синуса и косинуса; формулу скалярного произведения, площади треугольников, определение скалярного произведения векторов, его свойства.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Уметь: </w:t>
      </w:r>
      <w:r>
        <w:rPr>
          <w:rFonts w:ascii="Times New Roman" w:hAnsi="Times New Roman"/>
          <w:sz w:val="28"/>
          <w:szCs w:val="28"/>
        </w:rPr>
        <w:t xml:space="preserve">доказывать изученные теоремы и анализировать, высказывать свою точку зрения, выбирать рациональные  способы  решения задач.</w:t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contextualSpacing w:val="0"/>
        <w:ind w:left="786"/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b/>
          <w:sz w:val="28"/>
          <w:szCs w:val="28"/>
        </w:rPr>
        <w:t xml:space="preserve">Длина окружности и площадь круга  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802"/>
        <w:jc w:val="both"/>
        <w:spacing w:before="0" w:after="0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Правильные многоугольники. Нахождение сторон правильного многоугольника через радиусы описанной и вписанной окружностей. Длина окружности и площадь круга.</w:t>
      </w:r>
      <w:r>
        <w:rPr>
          <w:iCs/>
          <w:sz w:val="28"/>
          <w:szCs w:val="28"/>
        </w:rPr>
      </w:r>
    </w:p>
    <w:p>
      <w:pPr>
        <w:pStyle w:val="802"/>
        <w:jc w:val="both"/>
        <w:spacing w:before="0" w:after="0"/>
        <w:rPr>
          <w:iCs/>
          <w:sz w:val="28"/>
          <w:szCs w:val="28"/>
        </w:rPr>
      </w:pP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После изучения темы учащиеся должны:</w:t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Знать: </w:t>
      </w:r>
      <w:r>
        <w:rPr>
          <w:rFonts w:ascii="Times New Roman" w:hAnsi="Times New Roman"/>
          <w:sz w:val="28"/>
          <w:szCs w:val="28"/>
        </w:rPr>
        <w:t xml:space="preserve">определение правильного многоугольника, вписанной и описанной окружности, формулы связывающие радиус окружности и длину стороны многоугольника, формулу площади круга, формулу длины окружности и длины дуги, формулу площади кругового сектора.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уметь</w:t>
      </w:r>
      <w:r>
        <w:rPr>
          <w:rFonts w:ascii="Times New Roman" w:hAnsi="Times New Roman"/>
          <w:sz w:val="28"/>
          <w:szCs w:val="28"/>
        </w:rPr>
        <w:t xml:space="preserve">: решать задачи с применением изученных формул, выполнять чертежи по условию задачи с соблюдением основных соотношений</w:t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contextualSpacing w:val="0"/>
        <w:ind w:left="786"/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Движение </w:t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Арифметическая прогрессия. </w:t>
      </w:r>
      <w:r>
        <w:rPr>
          <w:rFonts w:ascii="Times New Roman" w:hAnsi="Times New Roman"/>
          <w:sz w:val="28"/>
          <w:szCs w:val="28"/>
        </w:rPr>
        <w:t xml:space="preserve">Последовательности. Решение примеров и задач. Определение арифметической прогрессии. Формула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n</w:t>
      </w:r>
      <w:r>
        <w:rPr>
          <w:rFonts w:ascii="Times New Roman" w:hAnsi="Times New Roman"/>
          <w:sz w:val="28"/>
          <w:szCs w:val="28"/>
        </w:rPr>
        <w:t xml:space="preserve"> – го члена арифметической  прогрессии. 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Геометрическая прогрессия. </w:t>
      </w:r>
      <w:r>
        <w:rPr>
          <w:rFonts w:ascii="Times New Roman" w:hAnsi="Times New Roman"/>
          <w:sz w:val="28"/>
          <w:szCs w:val="28"/>
        </w:rPr>
        <w:t xml:space="preserve">Определение геометрической прогрессии. Формула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n</w:t>
      </w:r>
      <w:r>
        <w:rPr>
          <w:rFonts w:ascii="Times New Roman" w:hAnsi="Times New Roman"/>
          <w:sz w:val="28"/>
          <w:szCs w:val="28"/>
        </w:rPr>
        <w:t xml:space="preserve">-го члена геометрической  прогрессии. Сумма </w:t>
      </w:r>
      <w:r>
        <w:rPr>
          <w:rFonts w:ascii="Times New Roman" w:hAnsi="Times New Roman"/>
          <w:i/>
          <w:sz w:val="28"/>
          <w:szCs w:val="28"/>
          <w:lang w:val="en-US"/>
        </w:rPr>
        <w:t xml:space="preserve">n</w:t>
      </w:r>
      <w:r>
        <w:rPr>
          <w:rFonts w:ascii="Times New Roman" w:hAnsi="Times New Roman"/>
          <w:sz w:val="28"/>
          <w:szCs w:val="28"/>
        </w:rPr>
        <w:t xml:space="preserve"> первых членов геометрической прогрессии. Сумма бесконечной убывающей геометрической прогрессии.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После изучения темы учащиеся должны:</w:t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Знать:</w:t>
      </w:r>
      <w:r>
        <w:rPr>
          <w:rFonts w:ascii="Times New Roman" w:hAnsi="Times New Roman"/>
          <w:sz w:val="28"/>
          <w:szCs w:val="28"/>
        </w:rPr>
        <w:t xml:space="preserve"> понятия отображения плоскости на себя и движения,  что такое осевая и центральная симметрия и свойства движений. </w:t>
      </w:r>
      <w:r>
        <w:rPr>
          <w:rFonts w:ascii="Times New Roman" w:hAnsi="Times New Roman"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Уметь: </w:t>
      </w:r>
      <w:r>
        <w:rPr>
          <w:rFonts w:ascii="Times New Roman" w:hAnsi="Times New Roman"/>
          <w:sz w:val="28"/>
          <w:szCs w:val="28"/>
        </w:rPr>
        <w:t xml:space="preserve">строить фигуры симметричные относительно прямой и точки, выполнять поворот фигур на заданный угол и параллельный перенос на заданный вектор.</w:t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contextualSpacing w:val="0"/>
        <w:ind w:left="786"/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Начальные сведения из стереометрии </w:t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792"/>
        <w:ind w:left="786"/>
        <w:jc w:val="both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Дать начальные сведения из стереометрии.</w:t>
      </w:r>
      <w:r>
        <w:rPr>
          <w:rFonts w:ascii="Times New Roman" w:hAnsi="Times New Roman"/>
          <w:sz w:val="28"/>
          <w:szCs w:val="28"/>
        </w:rPr>
      </w:r>
    </w:p>
    <w:p>
      <w:pPr>
        <w:pStyle w:val="792"/>
        <w:contextualSpacing w:val="0"/>
        <w:ind w:left="786"/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аксиомах геометрии </w:t>
      </w:r>
      <w:r>
        <w:rPr>
          <w:rFonts w:ascii="Times New Roman" w:hAnsi="Times New Roman"/>
          <w:b/>
          <w:sz w:val="28"/>
          <w:szCs w:val="28"/>
        </w:rPr>
      </w:r>
    </w:p>
    <w:p>
      <w:pPr>
        <w:ind w:left="710"/>
        <w:jc w:val="both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Повторение. Решение задач </w:t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both"/>
        <w:spacing w:after="0" w:line="240" w:lineRule="auto"/>
        <w:shd w:val="clear" w:color="auto" w:fill="ffffff"/>
        <w:rPr>
          <w:rStyle w:val="795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Style w:val="795"/>
          <w:rFonts w:ascii="Times New Roman" w:hAnsi="Times New Roman" w:cs="Times New Roman"/>
          <w:b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after="0" w:line="240" w:lineRule="auto"/>
        <w:rPr>
          <w:rFonts w:ascii="Times New Roman" w:hAnsi="Times New Roman" w:eastAsia="SimSu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eastAsia="SimSun" w:cs="Times New Roman"/>
          <w:b/>
          <w:sz w:val="28"/>
          <w:szCs w:val="28"/>
          <w:lang w:eastAsia="zh-CN"/>
        </w:rPr>
        <w:t xml:space="preserve">Календарно - тематическое планирование</w:t>
      </w:r>
      <w:r>
        <w:rPr>
          <w:rFonts w:ascii="Times New Roman" w:hAnsi="Times New Roman" w:eastAsia="SimSun" w:cs="Times New Roman"/>
          <w:b/>
          <w:sz w:val="28"/>
          <w:szCs w:val="28"/>
        </w:rPr>
      </w:r>
    </w:p>
    <w:p>
      <w:pPr>
        <w:jc w:val="center"/>
        <w:rPr>
          <w:rFonts w:ascii="Times New Roman" w:hAnsi="Times New Roman" w:eastAsia="SimSun" w:cs="Times New Roman"/>
          <w:b/>
          <w:sz w:val="28"/>
          <w:szCs w:val="28"/>
        </w:rPr>
      </w:pPr>
      <w:r>
        <w:rPr>
          <w:rFonts w:ascii="Times New Roman" w:hAnsi="Times New Roman" w:eastAsia="SimSun" w:cs="Times New Roman"/>
          <w:b/>
          <w:sz w:val="28"/>
          <w:szCs w:val="28"/>
          <w:lang w:eastAsia="zh-CN"/>
        </w:rPr>
        <w:t xml:space="preserve">Геометрия</w:t>
      </w:r>
      <w:r>
        <w:rPr>
          <w:rFonts w:ascii="Times New Roman" w:hAnsi="Times New Roman" w:eastAsia="SimSu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hAnsi="Times New Roman" w:eastAsia="SimSun" w:cs="Times New Roman"/>
          <w:b/>
          <w:sz w:val="28"/>
          <w:szCs w:val="28"/>
          <w:lang w:eastAsia="zh-CN"/>
        </w:rPr>
        <w:t xml:space="preserve">9</w:t>
      </w:r>
      <w:r>
        <w:rPr>
          <w:rFonts w:ascii="Times New Roman" w:hAnsi="Times New Roman" w:eastAsia="SimSun" w:cs="Times New Roman"/>
          <w:b/>
          <w:sz w:val="28"/>
          <w:szCs w:val="28"/>
          <w:lang w:eastAsia="zh-CN"/>
        </w:rPr>
        <w:t xml:space="preserve"> класс</w:t>
      </w:r>
      <w:r>
        <w:rPr>
          <w:rFonts w:ascii="Times New Roman" w:hAnsi="Times New Roman" w:eastAsia="SimSun" w:cs="Times New Roman"/>
          <w:b/>
          <w:sz w:val="28"/>
          <w:szCs w:val="28"/>
        </w:rPr>
      </w:r>
    </w:p>
    <w:tbl>
      <w:tblPr>
        <w:tblStyle w:val="809"/>
        <w:tblW w:w="10599" w:type="dxa"/>
        <w:tblInd w:w="-785" w:type="dxa"/>
        <w:tblLook w:val="04A0" w:firstRow="1" w:lastRow="0" w:firstColumn="1" w:lastColumn="0" w:noHBand="0" w:noVBand="1"/>
      </w:tblPr>
      <w:tblGrid>
        <w:gridCol w:w="7621"/>
        <w:gridCol w:w="992"/>
        <w:gridCol w:w="993"/>
        <w:gridCol w:w="993"/>
      </w:tblGrid>
      <w:tr>
        <w:trPr>
          <w:trHeight w:val="825"/>
        </w:trPr>
        <w:tc>
          <w:tcPr>
            <w:shd w:val="clear" w:color="auto" w:fill="auto"/>
            <w:tcW w:w="762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уроков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99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Номер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факт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Понятие вектора. Равенство векторов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Откладывание вектора от данной точки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214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Сумма двух векторов. Законы сложения векторов. Правило параллелограмма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91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Сумма нескольких векторов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Вычитание векторов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27.09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85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Произведение вектора на число.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Произведение вектора на число. 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93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векторов к решению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линия трапеции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Разложение вектора по двум данным неколлинеарным векторам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Координаты вектора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 1: Метод координат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Связь между координатами вектора и координатами его начала и конца. Простейшие задачи в координатах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Простейшие задачи в координатах. 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Уравнение линии на плоскости. Уравнение окружности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Уравнение окружности. Решение задач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Уравнение прямой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22.11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27.11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29.11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1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Синус, косинус и тангенс угла.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Основное тригонометрическое тождество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Формулы приведения. Формулы для вычисления координат точки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111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Теорема о площади треугольника. Теорема синусов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Теорема косинусов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треугольников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треугольников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Измерительные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27.12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15.01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192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Угол между векторами. Скалярное произведение векторов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17.01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Скалярное произведение в координатах. Свойства скалярного произведения векторов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22.01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219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Скалярное произведение векторов и его свойства. 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24.01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29.01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27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 2: Соотношения между сторонами и углами треугольника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31.01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62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Правильный многоугольник. Окружность, описанная около правильного многоугольника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87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Окружность, вписанная в правильный многоугольник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423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Формулы для вычисления площади правильного многоугольника, его стороны и радиуса вписанной окружности.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правильных многоугольников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 окружности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круга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139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Площадь кругового сектора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139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 окружности и площадь круга. 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12.03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 3: Длина окружности и площадь круга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Отображение плоскости на себя. Понятие 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19.03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206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Отображение плоскости на себя. Понятие 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21.03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Параллельный перенос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Поворот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Параллельный перенос и поворот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122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 №4: 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 аксиомах планиметрии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 аксиомах планиметрии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30.04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134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Повторение. Решение задач (Треугольник)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Повторение. Решение задач(Треугольник)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Повторение. Решение задач(Окружность)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14.05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Итоговая контрольная работа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16.05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15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Повторение. Решение задач(Четырёхугольники, многоугольники)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21.05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7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Повторение. Решение задач(Векторы, метод координат, движения)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23.05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00"/>
        </w:trPr>
        <w:tc>
          <w:tcPr>
            <w:tcW w:w="762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Резерв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99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erReference w:type="default" r:id="rId9"/>
      <w:footerReference w:type="even" r:id="rId10"/>
      <w:footnotePr/>
      <w:endnotePr/>
      <w:type w:val="continuous"/>
      <w:pgSz w:w="11906" w:h="16838" w:orient="portrait"/>
      <w:pgMar w:top="1080" w:right="1440" w:bottom="1080" w:left="144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SimSun">
    <w:panose1 w:val="02010600030101010101"/>
  </w:font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Tahoma">
    <w:panose1 w:val="020B0604030504040204"/>
  </w:font>
  <w:font w:name="Calibri">
    <w:panose1 w:val="020F0502020204030204"/>
  </w:font>
  <w:font w:name="Candara">
    <w:panose1 w:val="020E0502030303020204"/>
  </w:font>
  <w:font w:name="Bookman Old Style">
    <w:panose1 w:val="02060603050605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659455613"/>
      <w:docPartObj>
        <w:docPartGallery w:val="Page Numbers (Bottom of Page)"/>
        <w:docPartUnique w:val="true"/>
      </w:docPartObj>
      <w:rPr/>
    </w:sdtPr>
    <w:sdtContent>
      <w:p>
        <w:pPr>
          <w:pStyle w:val="80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804"/>
      <w:ind w:right="36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  <w:rPr>
        <w:rStyle w:val="806"/>
      </w:rPr>
      <w:framePr w:wrap="around" w:vAnchor="text" w:hAnchor="margin" w:xAlign="right" w:y="1"/>
    </w:pPr>
    <w:r>
      <w:rPr>
        <w:rStyle w:val="806"/>
      </w:rPr>
      <w:fldChar w:fldCharType="begin"/>
    </w:r>
    <w:r>
      <w:rPr>
        <w:rStyle w:val="806"/>
      </w:rPr>
      <w:instrText xml:space="preserve">PAGE  </w:instrText>
    </w:r>
    <w:r>
      <w:rPr>
        <w:rStyle w:val="806"/>
      </w:rPr>
      <w:fldChar w:fldCharType="separate"/>
    </w:r>
    <w:r>
      <w:rPr>
        <w:rStyle w:val="806"/>
      </w:rPr>
      <w:t xml:space="preserve">2</w:t>
    </w:r>
    <w:r>
      <w:rPr>
        <w:rStyle w:val="806"/>
      </w:rPr>
      <w:fldChar w:fldCharType="end"/>
    </w:r>
    <w:r>
      <w:rPr>
        <w:rStyle w:val="806"/>
      </w:rPr>
    </w:r>
  </w:p>
  <w:p>
    <w:pPr>
      <w:pStyle w:val="804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*"/>
      <w:lvlJc w:val="left"/>
      <w:pPr>
        <w:ind w:left="0" w:firstLine="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5"/>
      <w:numFmt w:val="decimal"/>
      <w:isLgl w:val="false"/>
      <w:suff w:val="tab"/>
      <w:lvlText w:val="%1."/>
      <w:lvlJc w:val="left"/>
      <w:pPr>
        <w:ind w:left="786" w:hanging="360"/>
        <w:tabs>
          <w:tab w:val="num" w:pos="0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  <w:tabs>
          <w:tab w:val="num" w:pos="284" w:leader="none"/>
        </w:tabs>
      </w:pPr>
      <w:rPr>
        <w:sz w:val="40"/>
        <w:szCs w:val="4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8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36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43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50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57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64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72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79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8640" w:hanging="180"/>
      </w:p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ascii="Calibri" w:hAnsi="Calibri"/>
        <w:sz w:val="22"/>
        <w:u w:val="singl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3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860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17" w:hanging="360"/>
      </w:pPr>
      <w:rPr>
        <w:rFonts w:hint="default" w:ascii="Symbol" w:hAnsi="Symbol"/>
        <w:color w:val="auto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4" w:hanging="360"/>
        <w:tabs>
          <w:tab w:val="num" w:pos="1494" w:leader="none"/>
        </w:tabs>
      </w:pPr>
      <w:rPr>
        <w:rFonts w:hint="default" w:ascii="Symbol" w:hAnsi="Symbol"/>
        <w:color w:val="auto"/>
        <w:sz w:val="28"/>
        <w:szCs w:val="28"/>
      </w:rPr>
    </w:lvl>
    <w:lvl w:ilvl="1">
      <w:start w:val="1"/>
      <w:numFmt w:val="bullet"/>
      <w:isLgl w:val="false"/>
      <w:suff w:val="tab"/>
      <w:lvlText w:val="•"/>
      <w:lvlJc w:val="left"/>
      <w:pPr>
        <w:ind w:left="2214" w:hanging="360"/>
        <w:tabs>
          <w:tab w:val="num" w:pos="2214" w:leader="none"/>
        </w:tabs>
      </w:pPr>
      <w:rPr>
        <w:rFonts w:hint="default" w:ascii="Arial" w:hAnsi="Arial"/>
      </w:rPr>
    </w:lvl>
    <w:lvl w:ilvl="2">
      <w:start w:val="1"/>
      <w:numFmt w:val="bullet"/>
      <w:isLgl w:val="false"/>
      <w:suff w:val="tab"/>
      <w:lvlText w:val="•"/>
      <w:lvlJc w:val="left"/>
      <w:pPr>
        <w:ind w:left="2934" w:hanging="360"/>
        <w:tabs>
          <w:tab w:val="num" w:pos="2934" w:leader="none"/>
        </w:tabs>
      </w:pPr>
      <w:rPr>
        <w:rFonts w:hint="default" w:ascii="Arial" w:hAnsi="Arial"/>
      </w:rPr>
    </w:lvl>
    <w:lvl w:ilvl="3">
      <w:start w:val="1"/>
      <w:numFmt w:val="bullet"/>
      <w:isLgl w:val="false"/>
      <w:suff w:val="tab"/>
      <w:lvlText w:val="•"/>
      <w:lvlJc w:val="left"/>
      <w:pPr>
        <w:ind w:left="3654" w:hanging="360"/>
        <w:tabs>
          <w:tab w:val="num" w:pos="3654" w:leader="none"/>
        </w:tabs>
      </w:pPr>
      <w:rPr>
        <w:rFonts w:hint="default" w:ascii="Arial" w:hAnsi="Arial"/>
      </w:rPr>
    </w:lvl>
    <w:lvl w:ilvl="4">
      <w:start w:val="1"/>
      <w:numFmt w:val="bullet"/>
      <w:isLgl w:val="false"/>
      <w:suff w:val="tab"/>
      <w:lvlText w:val="•"/>
      <w:lvlJc w:val="left"/>
      <w:pPr>
        <w:ind w:left="4374" w:hanging="360"/>
        <w:tabs>
          <w:tab w:val="num" w:pos="4374" w:leader="none"/>
        </w:tabs>
      </w:pPr>
      <w:rPr>
        <w:rFonts w:hint="default" w:ascii="Arial" w:hAnsi="Arial"/>
      </w:rPr>
    </w:lvl>
    <w:lvl w:ilvl="5">
      <w:start w:val="1"/>
      <w:numFmt w:val="bullet"/>
      <w:isLgl w:val="false"/>
      <w:suff w:val="tab"/>
      <w:lvlText w:val="•"/>
      <w:lvlJc w:val="left"/>
      <w:pPr>
        <w:ind w:left="5094" w:hanging="360"/>
        <w:tabs>
          <w:tab w:val="num" w:pos="5094" w:leader="none"/>
        </w:tabs>
      </w:pPr>
      <w:rPr>
        <w:rFonts w:hint="default" w:ascii="Arial" w:hAnsi="Arial"/>
      </w:rPr>
    </w:lvl>
    <w:lvl w:ilvl="6">
      <w:start w:val="1"/>
      <w:numFmt w:val="bullet"/>
      <w:isLgl w:val="false"/>
      <w:suff w:val="tab"/>
      <w:lvlText w:val="•"/>
      <w:lvlJc w:val="left"/>
      <w:pPr>
        <w:ind w:left="5814" w:hanging="360"/>
        <w:tabs>
          <w:tab w:val="num" w:pos="5814" w:leader="none"/>
        </w:tabs>
      </w:pPr>
      <w:rPr>
        <w:rFonts w:hint="default" w:ascii="Arial" w:hAnsi="Arial"/>
      </w:rPr>
    </w:lvl>
    <w:lvl w:ilvl="7">
      <w:start w:val="1"/>
      <w:numFmt w:val="bullet"/>
      <w:isLgl w:val="false"/>
      <w:suff w:val="tab"/>
      <w:lvlText w:val="•"/>
      <w:lvlJc w:val="left"/>
      <w:pPr>
        <w:ind w:left="6534" w:hanging="360"/>
        <w:tabs>
          <w:tab w:val="num" w:pos="6534" w:leader="none"/>
        </w:tabs>
      </w:pPr>
      <w:rPr>
        <w:rFonts w:hint="default" w:ascii="Arial" w:hAnsi="Arial"/>
      </w:rPr>
    </w:lvl>
    <w:lvl w:ilvl="8">
      <w:start w:val="1"/>
      <w:numFmt w:val="bullet"/>
      <w:isLgl w:val="false"/>
      <w:suff w:val="tab"/>
      <w:lvlText w:val="•"/>
      <w:lvlJc w:val="left"/>
      <w:pPr>
        <w:ind w:left="7254" w:hanging="360"/>
        <w:tabs>
          <w:tab w:val="num" w:pos="7254" w:leader="none"/>
        </w:tabs>
      </w:pPr>
      <w:rPr>
        <w:rFonts w:hint="default" w:ascii="Arial" w:hAnsi="Arial"/>
      </w:rPr>
    </w:lvl>
  </w:abstractNum>
  <w:abstractNum w:abstractNumId="32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9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80" w:hanging="360"/>
      </w:pPr>
      <w:rPr>
        <w:rFonts w:hint="default" w:ascii="Wingdings" w:hAnsi="Wingdings"/>
      </w:r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13" w:hanging="360"/>
      </w:pPr>
      <w:rPr>
        <w:rFonts w:hint="default" w:ascii="Symbol" w:hAnsi="Symbol"/>
        <w:color w:val="auto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Times New Roman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num w:numId="1">
    <w:abstractNumId w:val="39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1"/>
  </w:num>
  <w:num w:numId="9">
    <w:abstractNumId w:val="38"/>
  </w:num>
  <w:num w:numId="10">
    <w:abstractNumId w:val="20"/>
  </w:num>
  <w:num w:numId="11">
    <w:abstractNumId w:val="16"/>
  </w:num>
  <w:num w:numId="12">
    <w:abstractNumId w:val="17"/>
  </w:num>
  <w:num w:numId="13">
    <w:abstractNumId w:val="2"/>
  </w:num>
  <w:num w:numId="14">
    <w:abstractNumId w:val="1"/>
  </w:num>
  <w:num w:numId="15">
    <w:abstractNumId w:val="23"/>
  </w:num>
  <w:num w:numId="16">
    <w:abstractNumId w:val="41"/>
  </w:num>
  <w:num w:numId="17">
    <w:abstractNumId w:val="31"/>
  </w:num>
  <w:num w:numId="18">
    <w:abstractNumId w:val="29"/>
  </w:num>
  <w:num w:numId="19">
    <w:abstractNumId w:val="15"/>
  </w:num>
  <w:num w:numId="20">
    <w:abstractNumId w:val="33"/>
  </w:num>
  <w:num w:numId="21">
    <w:abstractNumId w:val="14"/>
  </w:num>
  <w:num w:numId="22">
    <w:abstractNumId w:val="13"/>
  </w:num>
  <w:num w:numId="23">
    <w:abstractNumId w:val="22"/>
  </w:num>
  <w:num w:numId="24">
    <w:abstractNumId w:val="18"/>
  </w:num>
  <w:num w:numId="25">
    <w:abstractNumId w:val="40"/>
  </w:num>
  <w:num w:numId="26">
    <w:abstractNumId w:val="30"/>
  </w:num>
  <w:num w:numId="27">
    <w:abstractNumId w:val="19"/>
  </w:num>
  <w:num w:numId="28">
    <w:abstractNumId w:val="43"/>
  </w:num>
  <w:num w:numId="29">
    <w:abstractNumId w:val="37"/>
  </w:num>
  <w:num w:numId="30">
    <w:abstractNumId w:val="36"/>
  </w:num>
  <w:num w:numId="31">
    <w:abstractNumId w:val="0"/>
    <w:lvlOverride w:ilvl="0">
      <w:lvl w:ilvl="0">
        <w:start w:val="1"/>
        <w:numFmt w:val="bullet"/>
        <w:isLgl w:val="false"/>
        <w:suff w:val="tab"/>
        <w:lvlText w:val="•"/>
        <w:legacy w:legacy="1" w:legacyIndent="182" w:legacySpace="0"/>
        <w:lvlJc w:val="left"/>
        <w:pPr>
          <w:ind w:left="0" w:firstLine="0"/>
        </w:pPr>
        <w:rPr>
          <w:rFonts w:hint="default" w:ascii="Times New Roman" w:hAnsi="Times New Roman" w:cs="Times New Roman"/>
        </w:rPr>
      </w:lvl>
    </w:lvlOverride>
  </w:num>
  <w:num w:numId="32">
    <w:abstractNumId w:val="34"/>
  </w:num>
  <w:num w:numId="33">
    <w:abstractNumId w:val="26"/>
  </w:num>
  <w:num w:numId="34">
    <w:abstractNumId w:val="42"/>
  </w:num>
  <w:num w:numId="35">
    <w:abstractNumId w:val="9"/>
  </w:num>
  <w:num w:numId="36">
    <w:abstractNumId w:val="12"/>
  </w:num>
  <w:num w:numId="37">
    <w:abstractNumId w:val="24"/>
  </w:num>
  <w:num w:numId="38">
    <w:abstractNumId w:val="3"/>
  </w:num>
  <w:num w:numId="39">
    <w:abstractNumId w:val="11"/>
  </w:num>
  <w:num w:numId="40">
    <w:abstractNumId w:val="5"/>
  </w:num>
  <w:num w:numId="41">
    <w:abstractNumId w:val="4"/>
  </w:num>
  <w:num w:numId="42">
    <w:abstractNumId w:val="6"/>
  </w:num>
  <w:num w:numId="43">
    <w:abstractNumId w:val="7"/>
  </w:num>
  <w:num w:numId="44">
    <w:abstractNumId w:val="10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784"/>
    <w:next w:val="784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786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84"/>
    <w:next w:val="784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86"/>
    <w:link w:val="1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786"/>
    <w:link w:val="785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84"/>
    <w:next w:val="784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86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84"/>
    <w:next w:val="784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86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84"/>
    <w:next w:val="784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86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84"/>
    <w:next w:val="784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86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84"/>
    <w:next w:val="784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86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84"/>
    <w:next w:val="784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86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784"/>
    <w:next w:val="784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86"/>
    <w:link w:val="34"/>
    <w:uiPriority w:val="10"/>
    <w:rPr>
      <w:sz w:val="48"/>
      <w:szCs w:val="48"/>
    </w:rPr>
  </w:style>
  <w:style w:type="paragraph" w:styleId="36">
    <w:name w:val="Subtitle"/>
    <w:basedOn w:val="784"/>
    <w:next w:val="784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86"/>
    <w:link w:val="36"/>
    <w:uiPriority w:val="11"/>
    <w:rPr>
      <w:sz w:val="24"/>
      <w:szCs w:val="24"/>
    </w:rPr>
  </w:style>
  <w:style w:type="paragraph" w:styleId="38">
    <w:name w:val="Quote"/>
    <w:basedOn w:val="784"/>
    <w:next w:val="784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84"/>
    <w:next w:val="784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86"/>
    <w:link w:val="811"/>
    <w:uiPriority w:val="99"/>
  </w:style>
  <w:style w:type="character" w:styleId="45">
    <w:name w:val="Footer Char"/>
    <w:basedOn w:val="786"/>
    <w:link w:val="804"/>
    <w:uiPriority w:val="99"/>
  </w:style>
  <w:style w:type="paragraph" w:styleId="46">
    <w:name w:val="Caption"/>
    <w:basedOn w:val="784"/>
    <w:next w:val="78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804"/>
    <w:uiPriority w:val="99"/>
  </w:style>
  <w:style w:type="table" w:styleId="49">
    <w:name w:val="Table Grid Light"/>
    <w:basedOn w:val="78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8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8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84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86"/>
    <w:uiPriority w:val="99"/>
    <w:unhideWhenUsed/>
    <w:rPr>
      <w:vertAlign w:val="superscript"/>
    </w:rPr>
  </w:style>
  <w:style w:type="paragraph" w:styleId="178">
    <w:name w:val="endnote text"/>
    <w:basedOn w:val="784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86"/>
    <w:uiPriority w:val="99"/>
    <w:semiHidden/>
    <w:unhideWhenUsed/>
    <w:rPr>
      <w:vertAlign w:val="superscript"/>
    </w:rPr>
  </w:style>
  <w:style w:type="paragraph" w:styleId="181">
    <w:name w:val="toc 1"/>
    <w:basedOn w:val="784"/>
    <w:next w:val="784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84"/>
    <w:next w:val="784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84"/>
    <w:next w:val="784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84"/>
    <w:next w:val="784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84"/>
    <w:next w:val="784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84"/>
    <w:next w:val="784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84"/>
    <w:next w:val="784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84"/>
    <w:next w:val="784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84"/>
    <w:next w:val="784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84"/>
    <w:next w:val="784"/>
    <w:uiPriority w:val="99"/>
    <w:unhideWhenUsed/>
    <w:pPr>
      <w:spacing w:after="0" w:afterAutospacing="0"/>
    </w:pPr>
  </w:style>
  <w:style w:type="paragraph" w:styleId="784" w:default="1">
    <w:name w:val="Normal"/>
    <w:qFormat/>
  </w:style>
  <w:style w:type="paragraph" w:styleId="785">
    <w:name w:val="Heading 3"/>
    <w:basedOn w:val="784"/>
    <w:next w:val="784"/>
    <w:link w:val="789"/>
    <w:semiHidden/>
    <w:unhideWhenUsed/>
    <w:qFormat/>
    <w:pPr>
      <w:keepLines/>
      <w:keepNext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:lang w:eastAsia="en-US"/>
    </w:rPr>
  </w:style>
  <w:style w:type="character" w:styleId="786" w:default="1">
    <w:name w:val="Default Paragraph Font"/>
    <w:uiPriority w:val="1"/>
    <w:semiHidden/>
    <w:unhideWhenUsed/>
  </w:style>
  <w:style w:type="table" w:styleId="78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88" w:default="1">
    <w:name w:val="No List"/>
    <w:uiPriority w:val="99"/>
    <w:semiHidden/>
    <w:unhideWhenUsed/>
  </w:style>
  <w:style w:type="character" w:styleId="789" w:customStyle="1">
    <w:name w:val="Заголовок 3 Знак"/>
    <w:basedOn w:val="786"/>
    <w:link w:val="785"/>
    <w:semiHidden/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790">
    <w:name w:val="Body Text"/>
    <w:basedOn w:val="784"/>
    <w:link w:val="791"/>
    <w:semiHidden/>
    <w:unhideWhenUsed/>
    <w:pPr>
      <w:spacing w:after="120"/>
    </w:pPr>
    <w:rPr>
      <w:rFonts w:eastAsiaTheme="minorHAnsi"/>
      <w:lang w:eastAsia="en-US"/>
    </w:rPr>
  </w:style>
  <w:style w:type="character" w:styleId="791" w:customStyle="1">
    <w:name w:val="Основной текст Знак"/>
    <w:basedOn w:val="786"/>
    <w:link w:val="790"/>
    <w:semiHidden/>
  </w:style>
  <w:style w:type="paragraph" w:styleId="792">
    <w:name w:val="List Paragraph"/>
    <w:basedOn w:val="784"/>
    <w:uiPriority w:val="34"/>
    <w:qFormat/>
    <w:pPr>
      <w:contextualSpacing/>
      <w:ind w:left="720"/>
    </w:pPr>
    <w:rPr>
      <w:rFonts w:eastAsiaTheme="minorHAnsi"/>
      <w:lang w:eastAsia="en-US"/>
    </w:rPr>
  </w:style>
  <w:style w:type="paragraph" w:styleId="793" w:customStyle="1">
    <w:name w:val="NR"/>
    <w:basedOn w:val="784"/>
    <w:pPr>
      <w:spacing w:after="0" w:line="240" w:lineRule="auto"/>
    </w:pPr>
    <w:rPr>
      <w:rFonts w:ascii="Times New Roman" w:hAnsi="Times New Roman" w:eastAsia="Times New Roman" w:cs="Times New Roman"/>
      <w:sz w:val="24"/>
      <w:szCs w:val="20"/>
    </w:rPr>
  </w:style>
  <w:style w:type="character" w:styleId="794" w:customStyle="1">
    <w:name w:val="apple-style-span"/>
    <w:basedOn w:val="786"/>
  </w:style>
  <w:style w:type="character" w:styleId="795" w:customStyle="1">
    <w:name w:val="Основной текст + 9 pt"/>
    <w:basedOn w:val="786"/>
    <w:uiPriority w:val="99"/>
    <w:rPr>
      <w:rFonts w:hint="default" w:ascii="Bookman Old Style" w:hAnsi="Bookman Old Style" w:cs="Bookman Old Style"/>
      <w:spacing w:val="0"/>
      <w:sz w:val="18"/>
      <w:szCs w:val="18"/>
    </w:rPr>
  </w:style>
  <w:style w:type="character" w:styleId="796" w:customStyle="1">
    <w:name w:val="Основной текст + 9 pt12"/>
    <w:basedOn w:val="786"/>
    <w:uiPriority w:val="99"/>
    <w:rPr>
      <w:rFonts w:hint="default" w:ascii="Bookman Old Style" w:hAnsi="Bookman Old Style" w:cs="Bookman Old Style"/>
      <w:i/>
      <w:iCs/>
      <w:spacing w:val="0"/>
      <w:sz w:val="18"/>
      <w:szCs w:val="18"/>
    </w:rPr>
  </w:style>
  <w:style w:type="paragraph" w:styleId="797" w:customStyle="1">
    <w:name w:val="Style11"/>
    <w:basedOn w:val="784"/>
    <w:uiPriority w:val="99"/>
    <w:pPr>
      <w:ind w:firstLine="354"/>
      <w:jc w:val="both"/>
      <w:spacing w:after="0" w:line="201" w:lineRule="exact"/>
      <w:widowControl w:val="off"/>
    </w:pPr>
    <w:rPr>
      <w:rFonts w:ascii="Candara" w:hAnsi="Candara" w:cs="Times New Roman"/>
      <w:sz w:val="24"/>
      <w:szCs w:val="24"/>
    </w:rPr>
  </w:style>
  <w:style w:type="paragraph" w:styleId="798" w:customStyle="1">
    <w:name w:val="Style12"/>
    <w:basedOn w:val="784"/>
    <w:uiPriority w:val="99"/>
    <w:pPr>
      <w:jc w:val="center"/>
      <w:spacing w:after="0" w:line="240" w:lineRule="auto"/>
      <w:widowControl w:val="off"/>
    </w:pPr>
    <w:rPr>
      <w:rFonts w:ascii="Candara" w:hAnsi="Candara" w:cs="Times New Roman"/>
      <w:sz w:val="24"/>
      <w:szCs w:val="24"/>
    </w:rPr>
  </w:style>
  <w:style w:type="character" w:styleId="799" w:customStyle="1">
    <w:name w:val="Font Style104"/>
    <w:basedOn w:val="786"/>
    <w:uiPriority w:val="99"/>
    <w:rPr>
      <w:rFonts w:hint="default" w:ascii="Times New Roman" w:hAnsi="Times New Roman" w:cs="Times New Roman"/>
      <w:sz w:val="18"/>
      <w:szCs w:val="18"/>
    </w:rPr>
  </w:style>
  <w:style w:type="character" w:styleId="800" w:customStyle="1">
    <w:name w:val="Font Style108"/>
    <w:basedOn w:val="786"/>
    <w:uiPriority w:val="99"/>
    <w:rPr>
      <w:rFonts w:hint="default" w:ascii="Times New Roman" w:hAnsi="Times New Roman" w:cs="Times New Roman"/>
      <w:b/>
      <w:bCs/>
      <w:i/>
      <w:iCs/>
      <w:sz w:val="18"/>
      <w:szCs w:val="18"/>
    </w:rPr>
  </w:style>
  <w:style w:type="character" w:styleId="801" w:customStyle="1">
    <w:name w:val="Font Style109"/>
    <w:basedOn w:val="786"/>
    <w:uiPriority w:val="99"/>
    <w:rPr>
      <w:rFonts w:hint="default" w:ascii="Times New Roman" w:hAnsi="Times New Roman" w:cs="Times New Roman"/>
      <w:b/>
      <w:bCs/>
      <w:sz w:val="22"/>
      <w:szCs w:val="22"/>
    </w:rPr>
  </w:style>
  <w:style w:type="paragraph" w:styleId="802">
    <w:name w:val="Normal (Web)"/>
    <w:basedOn w:val="784"/>
    <w:pPr>
      <w:spacing w:before="280" w:after="280" w:line="240" w:lineRule="auto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803">
    <w:name w:val="No Spacing"/>
    <w:uiPriority w:val="1"/>
    <w:qFormat/>
    <w:pPr>
      <w:spacing w:after="0" w:line="240" w:lineRule="auto"/>
    </w:pPr>
    <w:rPr>
      <w:rFonts w:ascii="Times New Roman" w:hAnsi="Times New Roman" w:eastAsia="Arial" w:cs="Calibri"/>
      <w:sz w:val="24"/>
      <w:szCs w:val="24"/>
      <w:lang w:eastAsia="ar-SA"/>
    </w:rPr>
  </w:style>
  <w:style w:type="paragraph" w:styleId="804">
    <w:name w:val="Footer"/>
    <w:basedOn w:val="784"/>
    <w:link w:val="805"/>
    <w:uiPriority w:val="99"/>
    <w:pPr>
      <w:spacing w:after="0" w:line="240" w:lineRule="auto"/>
      <w:tabs>
        <w:tab w:val="center" w:pos="4677" w:leader="none"/>
        <w:tab w:val="right" w:pos="9355" w:leader="none"/>
      </w:tabs>
    </w:pPr>
    <w:rPr>
      <w:rFonts w:ascii="Times New Roman" w:hAnsi="Times New Roman" w:eastAsia="Times New Roman" w:cs="Times New Roman"/>
      <w:sz w:val="24"/>
      <w:szCs w:val="24"/>
    </w:rPr>
  </w:style>
  <w:style w:type="character" w:styleId="805" w:customStyle="1">
    <w:name w:val="Нижний колонтитул Знак"/>
    <w:basedOn w:val="786"/>
    <w:link w:val="804"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806">
    <w:name w:val="page number"/>
    <w:basedOn w:val="786"/>
  </w:style>
  <w:style w:type="paragraph" w:styleId="807" w:customStyle="1">
    <w:name w:val="Style30"/>
    <w:basedOn w:val="784"/>
    <w:uiPriority w:val="99"/>
    <w:pPr>
      <w:spacing w:after="0" w:line="210" w:lineRule="exact"/>
      <w:widowControl w:val="off"/>
    </w:pPr>
    <w:rPr>
      <w:rFonts w:ascii="Candara" w:hAnsi="Candara" w:cs="Times New Roman"/>
      <w:sz w:val="24"/>
      <w:szCs w:val="24"/>
    </w:rPr>
  </w:style>
  <w:style w:type="character" w:styleId="808" w:customStyle="1">
    <w:name w:val="Font Style105"/>
    <w:basedOn w:val="786"/>
    <w:uiPriority w:val="99"/>
    <w:rPr>
      <w:rFonts w:hint="default" w:ascii="Times New Roman" w:hAnsi="Times New Roman" w:cs="Times New Roman"/>
      <w:i/>
      <w:iCs/>
      <w:sz w:val="18"/>
      <w:szCs w:val="18"/>
    </w:rPr>
  </w:style>
  <w:style w:type="table" w:styleId="809">
    <w:name w:val="Table Grid"/>
    <w:basedOn w:val="78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810">
    <w:name w:val="Hyperlink"/>
    <w:rPr>
      <w:color w:val="000080"/>
      <w:u w:val="single"/>
    </w:rPr>
  </w:style>
  <w:style w:type="paragraph" w:styleId="811">
    <w:name w:val="Header"/>
    <w:basedOn w:val="784"/>
    <w:link w:val="812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12" w:customStyle="1">
    <w:name w:val="Верхний колонтитул Знак"/>
    <w:basedOn w:val="786"/>
    <w:link w:val="811"/>
    <w:uiPriority w:val="99"/>
    <w:rPr>
      <w:rFonts w:eastAsiaTheme="minorEastAsia"/>
      <w:lang w:eastAsia="ru-RU"/>
    </w:rPr>
  </w:style>
  <w:style w:type="paragraph" w:styleId="813">
    <w:name w:val="Balloon Text"/>
    <w:basedOn w:val="784"/>
    <w:link w:val="81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14" w:customStyle="1">
    <w:name w:val="Текст выноски Знак"/>
    <w:basedOn w:val="786"/>
    <w:link w:val="81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9576A5-1E30-49D7-B5DE-F908614D2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revision>3</cp:revision>
  <dcterms:created xsi:type="dcterms:W3CDTF">2023-08-27T15:21:00Z</dcterms:created>
  <dcterms:modified xsi:type="dcterms:W3CDTF">2023-09-21T07:47:41Z</dcterms:modified>
</cp:coreProperties>
</file>